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F6" w:rsidRPr="00D918F6" w:rsidRDefault="00D918F6" w:rsidP="00D918F6">
      <w:pPr>
        <w:pStyle w:val="1"/>
        <w:ind w:right="99"/>
        <w:jc w:val="center"/>
        <w:rPr>
          <w:rFonts w:cs="Times New Roman"/>
          <w:sz w:val="28"/>
          <w:szCs w:val="28"/>
        </w:rPr>
      </w:pPr>
      <w:r w:rsidRPr="00D918F6">
        <w:rPr>
          <w:rFonts w:cs="Times New Roman"/>
          <w:sz w:val="28"/>
          <w:szCs w:val="28"/>
        </w:rPr>
        <w:t>РОССИЙСКАЯ ФЕДЕРАЦИЯ</w:t>
      </w:r>
    </w:p>
    <w:p w:rsidR="00D918F6" w:rsidRPr="00D918F6" w:rsidRDefault="00D918F6" w:rsidP="00D918F6">
      <w:pPr>
        <w:pStyle w:val="1"/>
        <w:ind w:right="99"/>
        <w:jc w:val="center"/>
        <w:rPr>
          <w:rFonts w:cs="Times New Roman"/>
          <w:sz w:val="28"/>
          <w:szCs w:val="28"/>
        </w:rPr>
      </w:pPr>
      <w:r w:rsidRPr="00D918F6">
        <w:rPr>
          <w:rFonts w:cs="Times New Roman"/>
          <w:sz w:val="28"/>
          <w:szCs w:val="28"/>
        </w:rPr>
        <w:t>ИРКУТСКАЯ ОБЛАСТЬ</w:t>
      </w:r>
    </w:p>
    <w:p w:rsidR="00D918F6" w:rsidRPr="00D918F6" w:rsidRDefault="00D918F6" w:rsidP="00D918F6">
      <w:pPr>
        <w:pStyle w:val="1"/>
        <w:ind w:right="99"/>
        <w:jc w:val="center"/>
        <w:rPr>
          <w:rFonts w:cs="Times New Roman"/>
          <w:sz w:val="28"/>
          <w:szCs w:val="28"/>
        </w:rPr>
      </w:pPr>
      <w:r w:rsidRPr="00D918F6">
        <w:rPr>
          <w:rFonts w:cs="Times New Roman"/>
          <w:sz w:val="28"/>
          <w:szCs w:val="28"/>
        </w:rPr>
        <w:t>СЛЮДЯНСКИЙ МУНИЦИПАЛЬНЫЙ РАЙОН</w:t>
      </w:r>
    </w:p>
    <w:p w:rsidR="00D918F6" w:rsidRPr="00D918F6" w:rsidRDefault="00D918F6" w:rsidP="00D918F6">
      <w:pPr>
        <w:pStyle w:val="1"/>
        <w:ind w:right="99"/>
        <w:jc w:val="center"/>
        <w:rPr>
          <w:rFonts w:cs="Times New Roman"/>
          <w:sz w:val="28"/>
          <w:szCs w:val="28"/>
        </w:rPr>
      </w:pPr>
      <w:r w:rsidRPr="00D918F6">
        <w:rPr>
          <w:rFonts w:cs="Times New Roman"/>
          <w:sz w:val="28"/>
          <w:szCs w:val="28"/>
        </w:rPr>
        <w:t>УТУЛИКСКОЕ МУНИЦИПАЛЬНОЕ ОБРАЗОВАНИЕ</w:t>
      </w:r>
    </w:p>
    <w:p w:rsidR="00D918F6" w:rsidRPr="00D918F6" w:rsidRDefault="00D918F6" w:rsidP="00D918F6">
      <w:pPr>
        <w:pStyle w:val="1"/>
        <w:ind w:right="99"/>
        <w:jc w:val="center"/>
        <w:rPr>
          <w:rFonts w:cs="Times New Roman"/>
          <w:sz w:val="28"/>
          <w:szCs w:val="28"/>
        </w:rPr>
      </w:pPr>
      <w:r w:rsidRPr="00D918F6">
        <w:rPr>
          <w:rFonts w:cs="Times New Roman"/>
          <w:sz w:val="28"/>
          <w:szCs w:val="28"/>
        </w:rPr>
        <w:t>АДМИНИСТРАЦИЯ</w:t>
      </w:r>
    </w:p>
    <w:p w:rsidR="00D918F6" w:rsidRPr="00D918F6" w:rsidRDefault="00D918F6" w:rsidP="00D918F6">
      <w:pPr>
        <w:pStyle w:val="1"/>
        <w:ind w:right="99"/>
        <w:jc w:val="center"/>
        <w:rPr>
          <w:rFonts w:ascii="Arial" w:hAnsi="Arial" w:cs="Arial"/>
          <w:sz w:val="32"/>
          <w:szCs w:val="32"/>
        </w:rPr>
      </w:pPr>
      <w:r w:rsidRPr="00D918F6">
        <w:rPr>
          <w:rFonts w:cs="Times New Roman"/>
          <w:sz w:val="28"/>
          <w:szCs w:val="28"/>
        </w:rPr>
        <w:t>ПОСТАНОВЛЕНИЕ</w:t>
      </w:r>
    </w:p>
    <w:p w:rsidR="00623969" w:rsidRDefault="004E0609" w:rsidP="00623969">
      <w:pPr>
        <w:pStyle w:val="1"/>
        <w:ind w:right="9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25.01.2021г</w:t>
      </w:r>
      <w:r w:rsidR="00623969" w:rsidRPr="00D918F6">
        <w:rPr>
          <w:rFonts w:cs="Times New Roman"/>
          <w:sz w:val="28"/>
          <w:szCs w:val="28"/>
        </w:rPr>
        <w:t xml:space="preserve">. </w:t>
      </w:r>
      <w:r w:rsidR="00623969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№4</w:t>
      </w:r>
    </w:p>
    <w:p w:rsidR="00623969" w:rsidRDefault="00623969" w:rsidP="00623969">
      <w:pPr>
        <w:pStyle w:val="1"/>
        <w:ind w:right="99"/>
        <w:jc w:val="center"/>
        <w:rPr>
          <w:rFonts w:cs="Times New Roman"/>
          <w:sz w:val="28"/>
          <w:szCs w:val="28"/>
        </w:rPr>
      </w:pPr>
    </w:p>
    <w:p w:rsidR="008618B7" w:rsidRPr="00D918F6" w:rsidRDefault="00623969" w:rsidP="00623969">
      <w:pPr>
        <w:pStyle w:val="1"/>
        <w:ind w:right="99"/>
        <w:jc w:val="center"/>
      </w:pPr>
      <w:r>
        <w:rPr>
          <w:rFonts w:cs="Times New Roman"/>
          <w:sz w:val="28"/>
          <w:szCs w:val="28"/>
        </w:rPr>
        <w:t>ОБ УТВЕРЖДЕНИИ КОМПЛЕКСА МЕР ПО ВЫЯВЛЕНИЮ И УРЕГУЛИРОВАНИЮ КОНФЛИКТА ИНТЕРЕСОВ В АДМИНИСТРАЦИИ УТУЛИКСКОГО СЕЛЬСКОГО ПОСЕЛЕНИЯ</w:t>
      </w:r>
    </w:p>
    <w:p w:rsidR="00D918F6" w:rsidRDefault="00D918F6"/>
    <w:p w:rsidR="00D918F6" w:rsidRDefault="00D918F6" w:rsidP="00D91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законодательства в сфере противодействия коррупции, руководствуясь </w:t>
      </w:r>
      <w:r w:rsidRPr="00D4728B">
        <w:rPr>
          <w:sz w:val="28"/>
          <w:szCs w:val="28"/>
        </w:rPr>
        <w:t>Федеральным законом от 25.12.2008г. №273-ФЗ «О противодействии ко</w:t>
      </w:r>
      <w:r>
        <w:rPr>
          <w:sz w:val="28"/>
          <w:szCs w:val="28"/>
        </w:rPr>
        <w:t>ррупции», руководствуясь Указом</w:t>
      </w:r>
      <w:r w:rsidRPr="00D4728B">
        <w:rPr>
          <w:sz w:val="28"/>
          <w:szCs w:val="28"/>
        </w:rPr>
        <w:t xml:space="preserve">  Президента Российской Федерации от </w:t>
      </w:r>
      <w:r>
        <w:rPr>
          <w:sz w:val="28"/>
          <w:szCs w:val="28"/>
        </w:rPr>
        <w:t>02.04.2013г №309</w:t>
      </w:r>
      <w:r w:rsidRPr="00D4728B"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коррупции», на основании ст.ст.43,45 Устава </w:t>
      </w:r>
      <w:proofErr w:type="spellStart"/>
      <w:r w:rsidRPr="00D4728B">
        <w:rPr>
          <w:sz w:val="28"/>
          <w:szCs w:val="28"/>
        </w:rPr>
        <w:t>Утуликского</w:t>
      </w:r>
      <w:proofErr w:type="spellEnd"/>
      <w:r w:rsidRPr="00D4728B">
        <w:rPr>
          <w:sz w:val="28"/>
          <w:szCs w:val="28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18F6" w:rsidRDefault="00D918F6" w:rsidP="00D918F6">
      <w:pPr>
        <w:ind w:firstLine="709"/>
        <w:jc w:val="both"/>
        <w:rPr>
          <w:sz w:val="28"/>
          <w:szCs w:val="28"/>
        </w:rPr>
      </w:pPr>
    </w:p>
    <w:p w:rsidR="00D918F6" w:rsidRPr="00D918F6" w:rsidRDefault="00D918F6" w:rsidP="00D918F6">
      <w:pPr>
        <w:jc w:val="center"/>
        <w:rPr>
          <w:caps/>
          <w:sz w:val="28"/>
          <w:szCs w:val="28"/>
        </w:rPr>
      </w:pPr>
      <w:r w:rsidRPr="00D918F6">
        <w:rPr>
          <w:caps/>
          <w:sz w:val="28"/>
          <w:szCs w:val="28"/>
        </w:rPr>
        <w:t>Постановляет:</w:t>
      </w:r>
    </w:p>
    <w:p w:rsidR="00D918F6" w:rsidRDefault="00D918F6" w:rsidP="00D918F6">
      <w:pPr>
        <w:jc w:val="center"/>
        <w:rPr>
          <w:sz w:val="28"/>
          <w:szCs w:val="28"/>
        </w:rPr>
      </w:pPr>
    </w:p>
    <w:p w:rsidR="00D918F6" w:rsidRDefault="00D918F6" w:rsidP="00D918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 мер по выявлению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сельского поселения. (Приложение №1).</w:t>
      </w:r>
    </w:p>
    <w:p w:rsidR="00D918F6" w:rsidRPr="00D918F6" w:rsidRDefault="00D918F6" w:rsidP="00D918F6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right="99"/>
        <w:jc w:val="both"/>
        <w:rPr>
          <w:sz w:val="28"/>
          <w:szCs w:val="28"/>
        </w:rPr>
      </w:pPr>
      <w:r w:rsidRPr="00D918F6">
        <w:rPr>
          <w:sz w:val="28"/>
          <w:szCs w:val="28"/>
        </w:rPr>
        <w:t xml:space="preserve">Опубликовать настоящее постановление в «Вестнике </w:t>
      </w:r>
      <w:proofErr w:type="spellStart"/>
      <w:r w:rsidRPr="00D918F6">
        <w:rPr>
          <w:sz w:val="28"/>
          <w:szCs w:val="28"/>
        </w:rPr>
        <w:t>Утуликского</w:t>
      </w:r>
      <w:proofErr w:type="spellEnd"/>
      <w:r w:rsidRPr="00D918F6">
        <w:rPr>
          <w:sz w:val="28"/>
          <w:szCs w:val="28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D918F6">
        <w:rPr>
          <w:sz w:val="28"/>
          <w:szCs w:val="28"/>
        </w:rPr>
        <w:t>Слюдянский</w:t>
      </w:r>
      <w:proofErr w:type="spellEnd"/>
      <w:r w:rsidRPr="00D918F6">
        <w:rPr>
          <w:sz w:val="28"/>
          <w:szCs w:val="28"/>
        </w:rPr>
        <w:t xml:space="preserve"> район в разделе </w:t>
      </w:r>
      <w:proofErr w:type="spellStart"/>
      <w:r w:rsidRPr="00D918F6">
        <w:rPr>
          <w:sz w:val="28"/>
          <w:szCs w:val="28"/>
        </w:rPr>
        <w:t>Утуликское</w:t>
      </w:r>
      <w:proofErr w:type="spellEnd"/>
      <w:r w:rsidRPr="00D918F6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18F6" w:rsidRPr="00D918F6" w:rsidRDefault="00D918F6" w:rsidP="00D918F6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right="99"/>
        <w:jc w:val="both"/>
        <w:rPr>
          <w:sz w:val="28"/>
          <w:szCs w:val="28"/>
        </w:rPr>
      </w:pPr>
      <w:r w:rsidRPr="00D918F6">
        <w:rPr>
          <w:sz w:val="28"/>
          <w:szCs w:val="28"/>
        </w:rPr>
        <w:t>Настоящее постановление вступает в силу со дня подписания.</w:t>
      </w:r>
    </w:p>
    <w:p w:rsidR="00D918F6" w:rsidRPr="00D918F6" w:rsidRDefault="00D918F6" w:rsidP="00D918F6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right="99"/>
        <w:jc w:val="both"/>
        <w:rPr>
          <w:sz w:val="28"/>
          <w:szCs w:val="28"/>
        </w:rPr>
      </w:pPr>
      <w:r w:rsidRPr="00D918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18F6" w:rsidRDefault="00D918F6" w:rsidP="00D918F6">
      <w:pPr>
        <w:ind w:left="360" w:right="99"/>
        <w:rPr>
          <w:sz w:val="28"/>
          <w:szCs w:val="28"/>
        </w:rPr>
      </w:pPr>
    </w:p>
    <w:p w:rsidR="008054B4" w:rsidRDefault="008054B4" w:rsidP="00D918F6">
      <w:pPr>
        <w:ind w:left="360" w:right="99"/>
        <w:rPr>
          <w:sz w:val="28"/>
          <w:szCs w:val="28"/>
        </w:rPr>
      </w:pPr>
    </w:p>
    <w:p w:rsidR="008054B4" w:rsidRPr="00D918F6" w:rsidRDefault="008054B4" w:rsidP="00D918F6">
      <w:pPr>
        <w:ind w:left="360" w:right="99"/>
        <w:rPr>
          <w:sz w:val="28"/>
          <w:szCs w:val="28"/>
        </w:rPr>
      </w:pPr>
    </w:p>
    <w:p w:rsidR="00D918F6" w:rsidRPr="00D918F6" w:rsidRDefault="00D918F6" w:rsidP="00D918F6">
      <w:pPr>
        <w:ind w:left="360" w:right="99"/>
        <w:rPr>
          <w:sz w:val="28"/>
          <w:szCs w:val="28"/>
        </w:rPr>
      </w:pPr>
      <w:r>
        <w:rPr>
          <w:sz w:val="28"/>
          <w:szCs w:val="28"/>
        </w:rPr>
        <w:t>Г</w:t>
      </w:r>
      <w:r w:rsidRPr="00D91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918F6">
        <w:rPr>
          <w:sz w:val="28"/>
          <w:szCs w:val="28"/>
        </w:rPr>
        <w:t xml:space="preserve"> администрации</w:t>
      </w:r>
    </w:p>
    <w:p w:rsidR="00D918F6" w:rsidRPr="00D918F6" w:rsidRDefault="00D918F6" w:rsidP="00D918F6">
      <w:pPr>
        <w:tabs>
          <w:tab w:val="left" w:pos="709"/>
        </w:tabs>
        <w:ind w:left="360" w:right="99"/>
        <w:rPr>
          <w:sz w:val="28"/>
          <w:szCs w:val="28"/>
        </w:rPr>
      </w:pPr>
      <w:proofErr w:type="spellStart"/>
      <w:r w:rsidRPr="00D918F6">
        <w:rPr>
          <w:sz w:val="28"/>
          <w:szCs w:val="28"/>
        </w:rPr>
        <w:t>Утуликского</w:t>
      </w:r>
      <w:proofErr w:type="spellEnd"/>
      <w:r w:rsidRPr="00D918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Е.Б.Вяткин</w:t>
      </w:r>
      <w:proofErr w:type="spellEnd"/>
    </w:p>
    <w:p w:rsidR="00D918F6" w:rsidRPr="00D918F6" w:rsidRDefault="00D918F6" w:rsidP="00D918F6">
      <w:pPr>
        <w:ind w:left="360"/>
        <w:jc w:val="both"/>
        <w:rPr>
          <w:sz w:val="28"/>
          <w:szCs w:val="28"/>
        </w:rPr>
      </w:pPr>
    </w:p>
    <w:p w:rsidR="00D918F6" w:rsidRDefault="00D918F6"/>
    <w:p w:rsidR="00BD4026" w:rsidRDefault="00BD4026"/>
    <w:p w:rsidR="00BD4026" w:rsidRDefault="00BD4026"/>
    <w:p w:rsidR="00BD4026" w:rsidRDefault="00BD4026"/>
    <w:p w:rsidR="00BD4026" w:rsidRDefault="00BD4026"/>
    <w:p w:rsidR="00BD4026" w:rsidRDefault="00BD4026" w:rsidP="00BD4026">
      <w:pPr>
        <w:jc w:val="right"/>
      </w:pPr>
      <w:r>
        <w:lastRenderedPageBreak/>
        <w:t>Приложение №1</w:t>
      </w:r>
    </w:p>
    <w:p w:rsidR="00BD4026" w:rsidRDefault="00BD4026" w:rsidP="00BD4026">
      <w:pPr>
        <w:jc w:val="right"/>
      </w:pPr>
      <w:r>
        <w:t>К постановлению администрации</w:t>
      </w:r>
    </w:p>
    <w:p w:rsidR="00BD4026" w:rsidRDefault="004E0609" w:rsidP="00BD4026">
      <w:pPr>
        <w:jc w:val="right"/>
      </w:pPr>
      <w:r>
        <w:t>№-4 от 25.01.2021</w:t>
      </w:r>
      <w:bookmarkStart w:id="0" w:name="_GoBack"/>
      <w:bookmarkEnd w:id="0"/>
      <w:r w:rsidR="00BD4026">
        <w:t>г</w:t>
      </w:r>
    </w:p>
    <w:p w:rsidR="00BD4026" w:rsidRDefault="00BD4026" w:rsidP="00BD4026">
      <w:pPr>
        <w:jc w:val="right"/>
      </w:pPr>
    </w:p>
    <w:p w:rsidR="00BD4026" w:rsidRDefault="00BD4026" w:rsidP="00BD4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мер по выявлению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4026" w:rsidRDefault="00BD4026" w:rsidP="00BD4026">
      <w:pPr>
        <w:jc w:val="center"/>
        <w:rPr>
          <w:sz w:val="28"/>
          <w:szCs w:val="28"/>
        </w:rPr>
      </w:pPr>
    </w:p>
    <w:p w:rsidR="00BD4026" w:rsidRDefault="00BD4026" w:rsidP="00BD4026">
      <w:pPr>
        <w:jc w:val="center"/>
      </w:pPr>
    </w:p>
    <w:p w:rsidR="00BD4026" w:rsidRPr="00BD4026" w:rsidRDefault="00BD4026" w:rsidP="00BD4026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jc w:val="both"/>
        <w:rPr>
          <w:sz w:val="28"/>
          <w:szCs w:val="28"/>
        </w:rPr>
      </w:pPr>
      <w:r w:rsidRPr="00BD4026">
        <w:rPr>
          <w:sz w:val="28"/>
          <w:szCs w:val="28"/>
        </w:rPr>
        <w:t>Основными мерами по предотвращению конфликтов интересов являются: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 xml:space="preserve">– распределение полномочий </w:t>
      </w:r>
      <w:r>
        <w:rPr>
          <w:rFonts w:cs="Calibri"/>
          <w:sz w:val="28"/>
          <w:szCs w:val="28"/>
        </w:rPr>
        <w:t>должностными инструкциями и распоряжениями</w:t>
      </w:r>
      <w:r w:rsidRPr="00BD4026">
        <w:rPr>
          <w:rFonts w:cs="Calibri"/>
          <w:sz w:val="28"/>
          <w:szCs w:val="28"/>
        </w:rPr>
        <w:t xml:space="preserve"> о распределении обязанностей между руководителем и заместител</w:t>
      </w:r>
      <w:r>
        <w:rPr>
          <w:rFonts w:cs="Calibri"/>
          <w:sz w:val="28"/>
          <w:szCs w:val="28"/>
        </w:rPr>
        <w:t>ем</w:t>
      </w:r>
      <w:r w:rsidRPr="00BD402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администрации при его наличии</w:t>
      </w:r>
      <w:r w:rsidRPr="00BD4026">
        <w:rPr>
          <w:rFonts w:cs="Calibri"/>
          <w:sz w:val="28"/>
          <w:szCs w:val="28"/>
        </w:rPr>
        <w:t>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BD4026" w:rsidRPr="00BD4026" w:rsidRDefault="00BD4026" w:rsidP="00BD4026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4026">
        <w:rPr>
          <w:sz w:val="28"/>
          <w:szCs w:val="28"/>
        </w:rPr>
        <w:t xml:space="preserve">В целях предотвращения конфликта интересов </w:t>
      </w:r>
      <w:r>
        <w:rPr>
          <w:sz w:val="28"/>
          <w:szCs w:val="28"/>
        </w:rPr>
        <w:t>глава админист</w:t>
      </w:r>
      <w:r w:rsidRPr="00BD4026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BD4026">
        <w:rPr>
          <w:sz w:val="28"/>
          <w:szCs w:val="28"/>
        </w:rPr>
        <w:t>ции и работники обязаны: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 xml:space="preserve">– соблюдать требования законодательства Российской Федерации, Устава </w:t>
      </w:r>
      <w:r>
        <w:rPr>
          <w:rFonts w:cs="Calibri"/>
          <w:sz w:val="28"/>
          <w:szCs w:val="28"/>
        </w:rPr>
        <w:t>муниципального образования</w:t>
      </w:r>
      <w:r w:rsidRPr="00BD4026">
        <w:rPr>
          <w:rFonts w:cs="Calibri"/>
          <w:sz w:val="28"/>
          <w:szCs w:val="28"/>
        </w:rPr>
        <w:t>, локальных нормативн</w:t>
      </w:r>
      <w:r>
        <w:rPr>
          <w:rFonts w:cs="Calibri"/>
          <w:sz w:val="28"/>
          <w:szCs w:val="28"/>
        </w:rPr>
        <w:t>ых актов организации</w:t>
      </w:r>
      <w:r w:rsidRPr="00BD4026">
        <w:rPr>
          <w:rFonts w:cs="Calibri"/>
          <w:sz w:val="28"/>
          <w:szCs w:val="28"/>
        </w:rPr>
        <w:t>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обеспечивать максимально возможную результативность при совершении сделок;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8054B4" w:rsidRDefault="008054B4" w:rsidP="00BD4026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BD4026" w:rsidRPr="00BD4026" w:rsidRDefault="00BD4026" w:rsidP="00BD4026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4026">
        <w:rPr>
          <w:sz w:val="28"/>
          <w:szCs w:val="28"/>
        </w:rPr>
        <w:t xml:space="preserve">Урегулирование (устранение) конфликтов интересов осуществляется </w:t>
      </w:r>
      <w:r>
        <w:rPr>
          <w:sz w:val="28"/>
          <w:szCs w:val="28"/>
        </w:rPr>
        <w:t xml:space="preserve">главой администрации и </w:t>
      </w:r>
      <w:r w:rsidRPr="00BD4026">
        <w:rPr>
          <w:sz w:val="28"/>
          <w:szCs w:val="28"/>
        </w:rPr>
        <w:t xml:space="preserve">должностным лицом, ответственным за реализацию </w:t>
      </w:r>
      <w:r>
        <w:rPr>
          <w:sz w:val="28"/>
          <w:szCs w:val="28"/>
        </w:rPr>
        <w:t>а</w:t>
      </w:r>
      <w:r w:rsidRPr="00BD4026">
        <w:rPr>
          <w:sz w:val="28"/>
          <w:szCs w:val="28"/>
        </w:rPr>
        <w:t>нтикоррупционной политики</w:t>
      </w:r>
      <w:r>
        <w:rPr>
          <w:sz w:val="28"/>
          <w:szCs w:val="28"/>
        </w:rPr>
        <w:t xml:space="preserve"> в администрации поселения</w:t>
      </w:r>
      <w:r w:rsidRPr="00BD4026">
        <w:rPr>
          <w:sz w:val="28"/>
          <w:szCs w:val="28"/>
        </w:rPr>
        <w:t>.</w:t>
      </w:r>
    </w:p>
    <w:p w:rsidR="008054B4" w:rsidRDefault="008054B4" w:rsidP="00BD4026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BD4026" w:rsidRPr="00BD4026" w:rsidRDefault="00BD4026" w:rsidP="00BD4026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4026">
        <w:rPr>
          <w:sz w:val="28"/>
          <w:szCs w:val="28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r>
        <w:rPr>
          <w:sz w:val="28"/>
          <w:szCs w:val="28"/>
        </w:rPr>
        <w:t>а</w:t>
      </w:r>
      <w:r w:rsidRPr="00BD4026">
        <w:rPr>
          <w:sz w:val="28"/>
          <w:szCs w:val="28"/>
        </w:rPr>
        <w:t>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D4026" w:rsidRPr="00BD4026" w:rsidRDefault="008054B4" w:rsidP="008054B4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D4026" w:rsidRPr="00BD4026">
        <w:rPr>
          <w:sz w:val="28"/>
          <w:szCs w:val="28"/>
        </w:rPr>
        <w:t xml:space="preserve">Лицо, ответственное за реализацию </w:t>
      </w:r>
      <w:r w:rsidR="00BD4026">
        <w:rPr>
          <w:sz w:val="28"/>
          <w:szCs w:val="28"/>
        </w:rPr>
        <w:t>а</w:t>
      </w:r>
      <w:r w:rsidR="00BD4026" w:rsidRPr="00BD4026">
        <w:rPr>
          <w:sz w:val="28"/>
          <w:szCs w:val="28"/>
        </w:rPr>
        <w:t>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8054B4" w:rsidRDefault="008054B4" w:rsidP="008054B4">
      <w:pPr>
        <w:jc w:val="both"/>
        <w:rPr>
          <w:sz w:val="28"/>
          <w:szCs w:val="28"/>
        </w:rPr>
      </w:pPr>
    </w:p>
    <w:p w:rsidR="00BD4026" w:rsidRPr="00BD4026" w:rsidRDefault="008054B4" w:rsidP="0080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4026" w:rsidRPr="00BD4026">
        <w:rPr>
          <w:sz w:val="28"/>
          <w:szCs w:val="28"/>
        </w:rPr>
        <w:t>Предотвращение или урегулирование конфликта интересов может состоять в: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пересмотре и изменении трудовых обязанностей работника;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отказе работника от своего личного интереса, порождающего конфликт с интересами организации;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увольнении работника из организации по инициативе работника;</w:t>
      </w:r>
    </w:p>
    <w:p w:rsidR="00BD4026" w:rsidRPr="00BD4026" w:rsidRDefault="00BD4026" w:rsidP="00BD4026">
      <w:pPr>
        <w:ind w:firstLine="709"/>
        <w:jc w:val="both"/>
        <w:rPr>
          <w:rFonts w:cs="Calibri"/>
          <w:sz w:val="28"/>
          <w:szCs w:val="28"/>
        </w:rPr>
      </w:pPr>
      <w:r w:rsidRPr="00BD4026">
        <w:rPr>
          <w:rFonts w:cs="Calibri"/>
          <w:sz w:val="28"/>
          <w:szCs w:val="28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D4026" w:rsidRPr="00BD4026" w:rsidRDefault="00BD4026">
      <w:pPr>
        <w:rPr>
          <w:sz w:val="28"/>
          <w:szCs w:val="28"/>
        </w:rPr>
      </w:pPr>
    </w:p>
    <w:sectPr w:rsidR="00BD4026" w:rsidRPr="00B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92B3411"/>
    <w:multiLevelType w:val="hybridMultilevel"/>
    <w:tmpl w:val="FD32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7994"/>
    <w:multiLevelType w:val="hybridMultilevel"/>
    <w:tmpl w:val="9AD0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9"/>
    <w:rsid w:val="000B43CC"/>
    <w:rsid w:val="002955E9"/>
    <w:rsid w:val="004E0609"/>
    <w:rsid w:val="00623969"/>
    <w:rsid w:val="008054B4"/>
    <w:rsid w:val="008618B7"/>
    <w:rsid w:val="00BD4026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88C"/>
  <w15:chartTrackingRefBased/>
  <w15:docId w15:val="{0BFAE094-724F-4832-90FE-43F43EB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uiPriority w:val="99"/>
    <w:locked/>
    <w:rsid w:val="00D918F6"/>
    <w:rPr>
      <w:rFonts w:ascii="Times New Roman" w:hAnsi="Times New Roman"/>
      <w:lang w:eastAsia="ru-RU"/>
    </w:rPr>
  </w:style>
  <w:style w:type="paragraph" w:customStyle="1" w:styleId="1">
    <w:name w:val="Без интервала1"/>
    <w:link w:val="a3"/>
    <w:uiPriority w:val="99"/>
    <w:rsid w:val="00D918F6"/>
    <w:pPr>
      <w:spacing w:after="0" w:line="240" w:lineRule="auto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D91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9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2021-01-31T06:07:00Z</cp:lastPrinted>
  <dcterms:created xsi:type="dcterms:W3CDTF">2020-04-17T07:46:00Z</dcterms:created>
  <dcterms:modified xsi:type="dcterms:W3CDTF">2021-01-31T06:08:00Z</dcterms:modified>
</cp:coreProperties>
</file>